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Enterprise</w:t>
            </w:r>
            <w:r w:rsidRPr="004B51DF">
              <w:rPr>
                <w:b/>
                <w:color w:val="FFFFFF"/>
                <w:sz w:val="24"/>
                <w:vertAlign w:val="superscript"/>
                <w:lang w:val="es-ES_tradnl"/>
              </w:rPr>
              <w:t xml:space="preserve"> </w:t>
            </w:r>
            <w:r w:rsidR="00352C6D" w:rsidRPr="00923499">
              <w:rPr>
                <w:b/>
                <w:noProof/>
                <w:sz w:val="24"/>
                <w:szCs w:val="24"/>
                <w:highlight w:val="lightGray"/>
                <w:u w:val="single"/>
              </w:rPr>
              <w:fldChar w:fldCharType="begin">
                <w:ffData>
                  <w:name w:val=""/>
                  <w:enabled/>
                  <w:calcOnExit w:val="0"/>
                  <w:textInput/>
                </w:ffData>
              </w:fldChar>
            </w:r>
            <w:r w:rsidR="00352C6D" w:rsidRPr="00923499">
              <w:rPr>
                <w:b/>
                <w:noProof/>
                <w:sz w:val="24"/>
                <w:szCs w:val="24"/>
                <w:highlight w:val="lightGray"/>
                <w:u w:val="single"/>
              </w:rPr>
              <w:instrText xml:space="preserve"> FORMTEXT </w:instrText>
            </w:r>
            <w:r w:rsidR="00352C6D" w:rsidRPr="00923499">
              <w:rPr>
                <w:b/>
                <w:noProof/>
                <w:sz w:val="24"/>
                <w:szCs w:val="24"/>
                <w:highlight w:val="lightGray"/>
                <w:u w:val="single"/>
              </w:rPr>
            </w:r>
            <w:r w:rsidR="00352C6D" w:rsidRPr="00923499">
              <w:rPr>
                <w:b/>
                <w:noProof/>
                <w:sz w:val="24"/>
                <w:szCs w:val="24"/>
                <w:highlight w:val="lightGray"/>
                <w:u w:val="single"/>
              </w:rPr>
              <w:fldChar w:fldCharType="separate"/>
            </w:r>
            <w:bookmarkStart w:id="3" w:name="_GoBack"/>
            <w:r w:rsidR="00352C6D" w:rsidRPr="00923499">
              <w:rPr>
                <w:b/>
                <w:noProof/>
                <w:sz w:val="24"/>
                <w:szCs w:val="24"/>
                <w:highlight w:val="lightGray"/>
                <w:u w:val="single"/>
              </w:rPr>
              <w:t> </w:t>
            </w:r>
            <w:r w:rsidR="00352C6D" w:rsidRPr="00923499">
              <w:rPr>
                <w:b/>
                <w:noProof/>
                <w:sz w:val="24"/>
                <w:szCs w:val="24"/>
                <w:highlight w:val="lightGray"/>
                <w:u w:val="single"/>
              </w:rPr>
              <w:t> </w:t>
            </w:r>
            <w:r w:rsidR="00352C6D" w:rsidRPr="00923499">
              <w:rPr>
                <w:b/>
                <w:noProof/>
                <w:sz w:val="24"/>
                <w:szCs w:val="24"/>
                <w:highlight w:val="lightGray"/>
                <w:u w:val="single"/>
              </w:rPr>
              <w:t> </w:t>
            </w:r>
            <w:r w:rsidR="00352C6D" w:rsidRPr="00923499">
              <w:rPr>
                <w:b/>
                <w:noProof/>
                <w:sz w:val="24"/>
                <w:szCs w:val="24"/>
                <w:highlight w:val="lightGray"/>
                <w:u w:val="single"/>
              </w:rPr>
              <w:t> </w:t>
            </w:r>
            <w:r w:rsidR="00352C6D" w:rsidRPr="00923499">
              <w:rPr>
                <w:b/>
                <w:noProof/>
                <w:sz w:val="24"/>
                <w:szCs w:val="24"/>
                <w:highlight w:val="lightGray"/>
                <w:u w:val="single"/>
              </w:rPr>
              <w:t> </w:t>
            </w:r>
            <w:bookmarkEnd w:id="3"/>
            <w:r w:rsidR="00352C6D" w:rsidRPr="00923499">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168" w:rsidRDefault="00A34168">
      <w:pPr>
        <w:rPr>
          <w:rFonts w:cs="Times New Roman"/>
        </w:rPr>
      </w:pPr>
      <w:r>
        <w:rPr>
          <w:rFonts w:cs="Times New Roman"/>
        </w:rPr>
        <w:separator/>
      </w:r>
    </w:p>
  </w:endnote>
  <w:endnote w:type="continuationSeparator" w:id="0">
    <w:p w:rsidR="00A34168" w:rsidRDefault="00A3416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196E35">
    <w:pPr>
      <w:rPr>
        <w:rStyle w:val="LogoportDoNotTranslate"/>
        <w:rFonts w:ascii="Tahoma" w:hAnsi="Tahoma"/>
        <w:noProof w:val="0"/>
        <w:color w:val="auto"/>
      </w:rPr>
    </w:pPr>
    <w:r w:rsidRPr="002471FB">
      <w:t>ISV Royalty Agreement EULA (April 1, 2013)</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923499">
      <w:rPr>
        <w:noProof/>
      </w:rPr>
      <w:t>2</w:t>
    </w:r>
    <w:r w:rsidRPr="002471FB">
      <w:fldChar w:fldCharType="end"/>
    </w:r>
    <w:r w:rsidRPr="002471FB">
      <w:t xml:space="preserve"> of </w:t>
    </w:r>
    <w:fldSimple w:instr=" NUMPAGES   \* MERGEFORMAT ">
      <w:r w:rsidR="0092349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168" w:rsidRDefault="00A34168">
      <w:pPr>
        <w:rPr>
          <w:rFonts w:cs="Times New Roman"/>
        </w:rPr>
      </w:pPr>
      <w:r>
        <w:rPr>
          <w:rFonts w:cs="Times New Roman"/>
        </w:rPr>
        <w:separator/>
      </w:r>
    </w:p>
  </w:footnote>
  <w:footnote w:type="continuationSeparator" w:id="0">
    <w:p w:rsidR="00A34168" w:rsidRDefault="00A34168">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RrCNhuKhtZ85vHFGuAz9oXruRBiL9GGPWTLb5bh3rrV2KWcQNzE38GFDUyJbLjAUbN6AhPWTB5d27i3fwQ4Uw==" w:salt="FfrsjwnPLErDoOQVcYCCP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23499"/>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3.xml><?xml version="1.0" encoding="utf-8"?>
<ds:datastoreItem xmlns:ds="http://schemas.openxmlformats.org/officeDocument/2006/customXml" ds:itemID="{DFB6C50B-7865-4942-AFC3-CBCE25645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